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MDPI62backmatter"/>
        <w:widowControl/>
        <w:suppressAutoHyphens w:val="true"/>
        <w:bidi w:val="0"/>
        <w:snapToGrid w:val="false"/>
        <w:spacing w:lineRule="atLeast" w:line="280" w:before="0" w:after="120"/>
        <w:ind w:left="0" w:right="0" w:hanging="0"/>
        <w:jc w:val="both"/>
        <w:rPr>
          <w:b/>
          <w:b/>
          <w:bCs/>
          <w:lang w:val="uk-UA"/>
        </w:rPr>
      </w:pPr>
      <w:r>
        <w:rPr>
          <w:b/>
          <w:bCs/>
        </w:rPr>
        <w:t xml:space="preserve">Appendix </w:t>
      </w:r>
      <w:r>
        <w:rPr>
          <w:b/>
          <w:bCs/>
          <w:lang w:val="uk-UA"/>
        </w:rPr>
        <w:t>С</w:t>
      </w:r>
    </w:p>
    <w:p>
      <w:pPr>
        <w:pStyle w:val="MDPI62backmatter"/>
        <w:widowControl/>
        <w:suppressAutoHyphens w:val="true"/>
        <w:bidi w:val="0"/>
        <w:snapToGrid w:val="false"/>
        <w:spacing w:lineRule="atLeast" w:line="280" w:before="0" w:after="120"/>
        <w:ind w:left="0" w:right="0" w:hanging="0"/>
        <w:jc w:val="both"/>
        <w:rPr>
          <w:b/>
          <w:b/>
          <w:bCs/>
          <w:lang w:val="uk-UA"/>
        </w:rPr>
      </w:pPr>
      <w:r>
        <w:rPr>
          <w:b/>
          <w:bCs/>
          <w:sz w:val="18"/>
          <w:szCs w:val="18"/>
        </w:rPr>
        <w:t>Table C</w:t>
      </w:r>
      <w:r>
        <w:rPr>
          <w:b/>
          <w:bCs/>
          <w:sz w:val="18"/>
          <w:szCs w:val="18"/>
          <w:lang w:val="uk-UA"/>
        </w:rPr>
        <w:t>1</w:t>
      </w:r>
      <w:r>
        <w:rPr>
          <w:b/>
          <w:bCs/>
          <w:sz w:val="18"/>
          <w:szCs w:val="18"/>
        </w:rPr>
        <w:t>.</w:t>
      </w:r>
      <w:r>
        <w:rPr>
          <w:sz w:val="18"/>
          <w:szCs w:val="18"/>
        </w:rPr>
        <w:t xml:space="preserve"> Number of reports on disruptions of normal operations and emergency incidents at critical infrastructure facilities in Ukraine February 2022 – November 2025 (compiled on the basis </w:t>
      </w:r>
      <w:r>
        <w:rPr>
          <w:sz w:val="18"/>
          <w:szCs w:val="18"/>
          <w:lang w:val="en-GB"/>
        </w:rPr>
        <w:t>Ecodozor environmental consequences and risks of the war in Ukraine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en-GB"/>
        </w:rPr>
        <w:t xml:space="preserve">(open data portal). Available online:  </w:t>
      </w:r>
      <w:hyperlink r:id="rId2">
        <w:r>
          <w:rPr>
            <w:sz w:val="18"/>
            <w:szCs w:val="18"/>
            <w:lang w:val="en-GB"/>
          </w:rPr>
          <w:t>https://ecodozor.org/</w:t>
        </w:r>
      </w:hyperlink>
      <w:r>
        <w:rPr>
          <w:sz w:val="18"/>
          <w:szCs w:val="18"/>
          <w:lang w:val="en-GB"/>
        </w:rPr>
        <w:t xml:space="preserve"> </w:t>
      </w:r>
      <w:r>
        <w:rPr>
          <w:rFonts w:eastAsia="Times New Roman"/>
          <w:sz w:val="18"/>
          <w:szCs w:val="18"/>
          <w:lang w:val="en-GB" w:eastAsia="de-DE" w:bidi="en-US"/>
        </w:rPr>
        <w:t>(accessed on 2 January 2026)</w:t>
      </w:r>
      <w:r>
        <w:rPr>
          <w:sz w:val="18"/>
          <w:szCs w:val="18"/>
        </w:rPr>
        <w:t>).</w:t>
      </w:r>
    </w:p>
    <w:tbl>
      <w:tblPr>
        <w:tblW w:w="9585" w:type="dxa"/>
        <w:jc w:val="left"/>
        <w:tblInd w:w="-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1" w:noVBand="1" w:lastRow="0" w:firstColumn="1" w:lastColumn="0" w:noHBand="0" w:val="04a0"/>
      </w:tblPr>
      <w:tblGrid>
        <w:gridCol w:w="4303"/>
        <w:gridCol w:w="2835"/>
        <w:gridCol w:w="2447"/>
      </w:tblGrid>
      <w:tr>
        <w:trPr>
          <w:tblHeader w:val="true"/>
        </w:trPr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2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Sector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2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Number of Objects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2"/>
              <w:widowControl w:val="false"/>
              <w:bidi w:val="0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Number of Reports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Metallurgy and Metalworking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43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149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Chemical and Petrochemical Industry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86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tabs>
                <w:tab w:val="clear" w:pos="709"/>
                <w:tab w:val="left" w:pos="1825" w:leader="none"/>
              </w:tabs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290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Mining Industry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96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434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 xml:space="preserve">Machine Building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150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277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Glass Industry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3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11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Construction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53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88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tabs>
                <w:tab w:val="clear" w:pos="709"/>
                <w:tab w:val="left" w:pos="6360" w:leader="none"/>
              </w:tabs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Thermal Power Engineering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36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235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Hydropower Engineering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7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39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Solar and Wind Energy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10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12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Nuclear Power Engineering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9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249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Food Industry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159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215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Agriculture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255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295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Power Supply Facilities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151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177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Fuel Supply Facilities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181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217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Water Supply and Wastewater Facilities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54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77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Airports and Airfields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61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200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Ports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23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116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Railway Infrastructure Facilities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110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184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Bridges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187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298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Light Industry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16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18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Wood Processing and Pulp and Paper Industry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41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47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Medical Industry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5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7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Dams and Levees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26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32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Other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374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>
              <w:rPr>
                <w:rFonts w:ascii="Palatino Linotype" w:hAnsi="Palatino Linotype"/>
                <w:sz w:val="16"/>
                <w:szCs w:val="16"/>
                <w:lang w:val="en-GB"/>
              </w:rPr>
              <w:t>434</w:t>
            </w:r>
          </w:p>
        </w:tc>
      </w:tr>
      <w:tr>
        <w:trPr/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Style w:val="Style14"/>
                <w:rFonts w:ascii="Palatino Linotype" w:hAnsi="Palatino Linotype"/>
                <w:sz w:val="16"/>
                <w:szCs w:val="16"/>
                <w:lang w:val="en-GB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Style w:val="Style14"/>
                <w:rFonts w:ascii="Palatino Linotype" w:hAnsi="Palatino Linotype"/>
                <w:sz w:val="16"/>
                <w:szCs w:val="16"/>
                <w:lang w:val="en-GB"/>
              </w:rPr>
              <w:t>2136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Style w:val="Style14"/>
                <w:rFonts w:ascii="Palatino Linotype" w:hAnsi="Palatino Linotype"/>
                <w:sz w:val="16"/>
                <w:szCs w:val="16"/>
                <w:lang w:val="en-GB"/>
              </w:rPr>
              <w:t>4102</w:t>
            </w:r>
          </w:p>
        </w:tc>
      </w:tr>
    </w:tbl>
    <w:p>
      <w:pPr>
        <w:pStyle w:val="MDPI51figurecaption"/>
        <w:widowControl/>
        <w:suppressAutoHyphens w:val="true"/>
        <w:bidi w:val="0"/>
        <w:snapToGrid w:val="false"/>
        <w:spacing w:lineRule="auto" w:line="240" w:before="240" w:after="60"/>
        <w:ind w:left="0" w:right="0" w:hanging="0"/>
        <w:jc w:val="both"/>
        <w:rPr>
          <w:b/>
          <w:b/>
        </w:rPr>
      </w:pPr>
      <w:r>
        <w:rPr/>
      </w:r>
    </w:p>
    <w:p>
      <w:pPr>
        <w:pStyle w:val="MDPI51figurecaption"/>
        <w:widowControl/>
        <w:suppressAutoHyphens w:val="true"/>
        <w:bidi w:val="0"/>
        <w:snapToGrid w:val="false"/>
        <w:spacing w:lineRule="auto" w:line="240" w:before="240" w:after="60"/>
        <w:ind w:left="0" w:right="0" w:hanging="0"/>
        <w:jc w:val="both"/>
        <w:rPr>
          <w:b/>
          <w:b/>
        </w:rPr>
      </w:pPr>
      <w:r>
        <w:rPr/>
      </w:r>
    </w:p>
    <w:p>
      <w:pPr>
        <w:pStyle w:val="MDPI51figurecaption"/>
        <w:widowControl/>
        <w:suppressAutoHyphens w:val="true"/>
        <w:bidi w:val="0"/>
        <w:snapToGrid w:val="false"/>
        <w:spacing w:lineRule="auto" w:line="240" w:before="240" w:after="60"/>
        <w:ind w:left="0" w:right="0" w:hanging="0"/>
        <w:jc w:val="both"/>
        <w:rPr>
          <w:b/>
          <w:b/>
        </w:rPr>
      </w:pPr>
      <w:r>
        <w:rPr/>
      </w:r>
    </w:p>
    <w:p>
      <w:pPr>
        <w:pStyle w:val="MDPI51figurecaption"/>
        <w:widowControl/>
        <w:suppressAutoHyphens w:val="true"/>
        <w:bidi w:val="0"/>
        <w:snapToGrid w:val="false"/>
        <w:spacing w:lineRule="auto" w:line="240" w:before="240" w:after="60"/>
        <w:ind w:left="0" w:right="0" w:hanging="0"/>
        <w:jc w:val="both"/>
        <w:rPr>
          <w:b/>
          <w:b/>
        </w:rPr>
      </w:pPr>
      <w:r>
        <w:rPr/>
      </w:r>
    </w:p>
    <w:p>
      <w:pPr>
        <w:pStyle w:val="MDPI51figurecaption"/>
        <w:widowControl/>
        <w:suppressAutoHyphens w:val="true"/>
        <w:bidi w:val="0"/>
        <w:snapToGrid w:val="false"/>
        <w:spacing w:lineRule="auto" w:line="240" w:before="240" w:after="60"/>
        <w:ind w:left="0" w:right="0" w:hanging="0"/>
        <w:jc w:val="both"/>
        <w:rPr>
          <w:b/>
          <w:b/>
        </w:rPr>
      </w:pPr>
      <w:r>
        <w:rPr/>
      </w:r>
    </w:p>
    <w:p>
      <w:pPr>
        <w:pStyle w:val="MDPI51figurecaption"/>
        <w:widowControl/>
        <w:suppressAutoHyphens w:val="true"/>
        <w:bidi w:val="0"/>
        <w:snapToGrid w:val="false"/>
        <w:spacing w:lineRule="auto" w:line="240" w:before="240" w:after="60"/>
        <w:ind w:left="0" w:right="0" w:hanging="0"/>
        <w:jc w:val="both"/>
        <w:rPr>
          <w:b/>
          <w:b/>
        </w:rPr>
      </w:pPr>
      <w:r>
        <w:rPr>
          <w:b/>
        </w:rPr>
        <w:drawing>
          <wp:inline distT="0" distB="0" distL="0" distR="0">
            <wp:extent cx="6007100" cy="2802890"/>
            <wp:effectExtent l="0" t="0" r="0" b="0"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MDPI51figurecaption"/>
        <w:widowControl/>
        <w:suppressAutoHyphens w:val="true"/>
        <w:bidi w:val="0"/>
        <w:snapToGrid w:val="false"/>
        <w:spacing w:lineRule="auto" w:line="240" w:before="240" w:after="60"/>
        <w:ind w:left="0" w:right="0" w:hanging="0"/>
        <w:jc w:val="both"/>
        <w:rPr>
          <w:b/>
          <w:b/>
        </w:rPr>
      </w:pPr>
      <w:r>
        <w:rPr>
          <w:b/>
        </w:rPr>
        <w:t xml:space="preserve">Figure C1. </w:t>
      </w:r>
      <w:r>
        <w:rPr>
          <w:b w:val="false"/>
          <w:bCs w:val="false"/>
        </w:rPr>
        <w:t xml:space="preserve">Spatial distribution of disruptions of emergency incidents at critical infrastructure facilities in Ukraine February 2022 – November 2025 (compiled on the basis of maps </w:t>
      </w:r>
      <w:r>
        <w:rPr>
          <w:b w:val="false"/>
          <w:bCs w:val="false"/>
          <w:sz w:val="18"/>
          <w:szCs w:val="18"/>
          <w:lang w:val="en-GB"/>
        </w:rPr>
        <w:t>Ecodozor environmental consequences and risks of the war in Ukraine</w:t>
      </w:r>
      <w:r>
        <w:rPr>
          <w:b w:val="false"/>
          <w:bCs w:val="false"/>
          <w:sz w:val="18"/>
          <w:szCs w:val="18"/>
        </w:rPr>
        <w:t xml:space="preserve"> </w:t>
      </w:r>
      <w:r>
        <w:rPr>
          <w:b w:val="false"/>
          <w:bCs w:val="false"/>
          <w:sz w:val="18"/>
          <w:szCs w:val="18"/>
          <w:lang w:val="en-GB"/>
        </w:rPr>
        <w:t xml:space="preserve">(open data portal). Available online:  </w:t>
      </w:r>
      <w:hyperlink r:id="rId4">
        <w:r>
          <w:rPr>
            <w:b w:val="false"/>
            <w:bCs w:val="false"/>
            <w:sz w:val="18"/>
            <w:szCs w:val="18"/>
            <w:lang w:val="en-GB"/>
          </w:rPr>
          <w:t>https://ecodozor.org/</w:t>
        </w:r>
      </w:hyperlink>
      <w:r>
        <w:rPr>
          <w:b w:val="false"/>
          <w:bCs w:val="false"/>
          <w:sz w:val="18"/>
          <w:szCs w:val="18"/>
          <w:lang w:val="en-GB"/>
        </w:rPr>
        <w:t xml:space="preserve"> </w:t>
      </w:r>
      <w:r>
        <w:rPr>
          <w:rFonts w:eastAsia="Times New Roman"/>
          <w:b w:val="false"/>
          <w:bCs w:val="false"/>
          <w:sz w:val="18"/>
          <w:szCs w:val="18"/>
          <w:lang w:val="en-GB" w:eastAsia="de-DE" w:bidi="en-US"/>
        </w:rPr>
        <w:t>(accessed on 2 January 2026)</w:t>
      </w:r>
      <w:r>
        <w:rPr>
          <w:b w:val="false"/>
          <w:bCs w:val="false"/>
        </w:rPr>
        <w:t>).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alatino Linotype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uk-UA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uk-UA" w:eastAsia="zh-CN" w:bidi="hi-IN"/>
    </w:rPr>
  </w:style>
  <w:style w:type="character" w:styleId="Style14">
    <w:name w:val="Виділення жирним"/>
    <w:qFormat/>
    <w:rPr>
      <w:b/>
      <w:bCs/>
    </w:rPr>
  </w:style>
  <w:style w:type="character" w:styleId="Style15">
    <w:name w:val="Гіперпосилання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Покажчик"/>
    <w:basedOn w:val="Normal"/>
    <w:qFormat/>
    <w:pPr>
      <w:suppressLineNumbers/>
    </w:pPr>
    <w:rPr>
      <w:rFonts w:cs="Arial"/>
    </w:rPr>
  </w:style>
  <w:style w:type="paragraph" w:styleId="MDPI51figurecaption">
    <w:name w:val="MDPI_5.1_figure_caption"/>
    <w:qFormat/>
    <w:pPr>
      <w:widowControl/>
      <w:suppressAutoHyphens w:val="true"/>
      <w:bidi w:val="0"/>
      <w:snapToGrid w:val="false"/>
      <w:spacing w:lineRule="atLeast" w:line="280" w:before="120" w:after="240"/>
      <w:ind w:left="2608" w:hanging="0"/>
      <w:jc w:val="both"/>
    </w:pPr>
    <w:rPr>
      <w:rFonts w:ascii="Palatino Linotype" w:hAnsi="Palatino Linotype" w:eastAsia="Times New Roman" w:cs="Times New Roman"/>
      <w:color w:val="000000"/>
      <w:kern w:val="0"/>
      <w:sz w:val="18"/>
      <w:szCs w:val="20"/>
      <w:lang w:val="en-US" w:eastAsia="de-DE" w:bidi="en-US"/>
    </w:rPr>
  </w:style>
  <w:style w:type="paragraph" w:styleId="MDPI62backmatter">
    <w:name w:val="MDPI_6.2_back_matter"/>
    <w:qFormat/>
    <w:pPr>
      <w:widowControl/>
      <w:suppressAutoHyphens w:val="true"/>
      <w:bidi w:val="0"/>
      <w:snapToGrid w:val="false"/>
      <w:spacing w:lineRule="atLeast" w:line="280" w:before="0" w:after="120"/>
      <w:ind w:left="2608" w:hanging="0"/>
      <w:jc w:val="both"/>
    </w:pPr>
    <w:rPr>
      <w:rFonts w:ascii="Palatino Linotype" w:hAnsi="Palatino Linotype" w:eastAsia="Times New Roman" w:cs="Times New Roman"/>
      <w:color w:val="000000"/>
      <w:kern w:val="0"/>
      <w:sz w:val="18"/>
      <w:szCs w:val="20"/>
      <w:lang w:val="en-US" w:eastAsia="en-US" w:bidi="en-US"/>
    </w:rPr>
  </w:style>
  <w:style w:type="paragraph" w:styleId="MDPI31text">
    <w:name w:val="MDPI_3.1_text"/>
    <w:qFormat/>
    <w:pPr>
      <w:widowControl/>
      <w:suppressAutoHyphens w:val="true"/>
      <w:bidi w:val="0"/>
      <w:snapToGrid w:val="false"/>
      <w:spacing w:lineRule="atLeast" w:line="280" w:before="0" w:after="0"/>
      <w:ind w:left="2608" w:firstLine="425"/>
      <w:jc w:val="both"/>
    </w:pPr>
    <w:rPr>
      <w:rFonts w:ascii="Palatino Linotype" w:hAnsi="Palatino Linotype" w:eastAsia="Times New Roman" w:cs="Times New Roman"/>
      <w:color w:val="000000"/>
      <w:kern w:val="0"/>
      <w:sz w:val="20"/>
      <w:szCs w:val="22"/>
      <w:lang w:val="en-US" w:eastAsia="de-DE" w:bidi="en-US"/>
    </w:rPr>
  </w:style>
  <w:style w:type="paragraph" w:styleId="Style21">
    <w:name w:val="Вміст таблиці"/>
    <w:basedOn w:val="Normal"/>
    <w:qFormat/>
    <w:pPr>
      <w:widowControl w:val="false"/>
      <w:suppressLineNumbers/>
      <w:suppressAutoHyphens w:val="true"/>
      <w:spacing w:lineRule="auto" w:line="24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uk-UA" w:bidi="hi-IN"/>
    </w:rPr>
  </w:style>
  <w:style w:type="paragraph" w:styleId="Style22">
    <w:name w:val="Заголовок таблиці"/>
    <w:basedOn w:val="Style21"/>
    <w:qFormat/>
    <w:pPr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codozor.org/" TargetMode="External"/><Relationship Id="rId3" Type="http://schemas.openxmlformats.org/officeDocument/2006/relationships/image" Target="media/image1.wmf"/><Relationship Id="rId4" Type="http://schemas.openxmlformats.org/officeDocument/2006/relationships/hyperlink" Target="https://ecodozor.org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LibreOffice/7.1.0.3$Windows_X86_64 LibreOffice_project/f6099ecf3d29644b5008cc8f48f42f4a40986e4c</Application>
  <AppVersion>15.0000</AppVersion>
  <Pages>2</Pages>
  <Words>217</Words>
  <Characters>1204</Characters>
  <CharactersWithSpaces>1345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2026-02-22T08:11:06Z</dcterms:created>
  <dc:creator/>
  <dc:description/>
  <dc:language>uk-UA</dc:language>
  <cp:lastModifiedBy/>
  <dcterms:modified xsi:type="dcterms:W3CDTF">2026-02-22T08:15:53Z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